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60"/>
      </w:pPr>
      <w:r>
        <w:rPr>
          <w:rFonts w:ascii="Nimbus Sans" w:hAnsi="Nimbus Sans" w:eastAsia="Nimbus Sans"/>
          <w:b/>
          <w:i w:val="0"/>
          <w:color w:val="60656C"/>
          <w:sz w:val="16"/>
        </w:rPr>
        <w:t>ДОКУМЕНТ 01  /  ТИПОВОЙ ШАБЛОН</w:t>
      </w:r>
    </w:p>
    <w:p>
      <w:pPr>
        <w:pStyle w:val="Title"/>
        <w:spacing w:after="160"/>
      </w:pPr>
      <w:r>
        <w:rPr>
          <w:rFonts w:ascii="Nimbus Sans" w:hAnsi="Nimbus Sans" w:eastAsia="Nimbus Sans"/>
          <w:b/>
          <w:i w:val="0"/>
          <w:color w:val="111111"/>
          <w:sz w:val="58"/>
        </w:rPr>
        <w:t>Договор на разработку сайта</w:t>
      </w:r>
    </w:p>
    <w:p>
      <w:pPr>
        <w:spacing w:after="360"/>
      </w:pPr>
      <w:r>
        <w:rPr>
          <w:rFonts w:ascii="Nimbus Sans" w:hAnsi="Nimbus Sans" w:eastAsia="Nimbus Sans"/>
          <w:b w:val="0"/>
          <w:i w:val="0"/>
          <w:color w:val="60656C"/>
          <w:sz w:val="24"/>
        </w:rPr>
        <w:t>Фиксирует объём работ, этапы, порядок оплаты, приёмки и передачи прав.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7030"/>
      </w:tblGrid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НОМЕР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№ 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ДАТА И МЕСТО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«___» __________ 20___ г. · г. Москва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ПРОЕКТ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ЗАКАЗЧИК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_______________________________________________</w:t>
            </w:r>
          </w:p>
        </w:tc>
      </w:tr>
      <w:tr>
        <w:tc>
          <w:tcPr>
            <w:tcW w:type="dxa" w:w="2721"/>
            <w:shd w:fill="F2F4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5"/>
              </w:rPr>
              <w:t>ИСПОЛНИТЕЛЬ</w:t>
            </w:r>
          </w:p>
        </w:tc>
        <w:tc>
          <w:tcPr>
            <w:tcW w:type="dxa" w:w="703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bottom w:val="single" w:sz="5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9"/>
              </w:rPr>
              <w:t>ИП Гладышев Андрей Иванович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7"/>
        <w:gridCol w:w="8164"/>
      </w:tblGrid>
      <w:tr>
        <w:tc>
          <w:tcPr>
            <w:tcW w:type="dxa" w:w="4876"/>
            <w:shd w:fill="F2D94E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111111"/>
                <w:sz w:val="16"/>
              </w:rPr>
              <w:t>ВАЖНО</w:t>
            </w:r>
          </w:p>
        </w:tc>
        <w:tc>
          <w:tcPr>
            <w:tcW w:type="dxa" w:w="4876"/>
            <w:shd w:fill="F2F4F7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Nimbus Sans" w:hAnsi="Nimbus Sans" w:eastAsia="Nimbus Sans"/>
                <w:b w:val="0"/>
                <w:i w:val="0"/>
                <w:color w:val="60656C"/>
                <w:sz w:val="17"/>
              </w:rPr>
              <w:t>Типовой шаблон. Перед подписанием адаптируйте его под конкретный проект; при необходимости получите юридическую консультацию.</w:t>
            </w:r>
          </w:p>
        </w:tc>
      </w:tr>
    </w:tbl>
    <w:p>
      <w:pPr>
        <w:spacing w:after="0"/>
      </w:pP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ИП Гладышев Андрей Иванович, именуемый в дальнейшем «Исполнитель», с одной стороны, и ________________________________, именуемый(ая) в дальнейшем «Заказчик», с другой стороны, совместно именуемые «Стороны», заключили настоящий договор о нижеследующем.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Предмет договора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Исполнитель обязуется разработать и передать Заказчику сайт, а Заказчик — предоставить исходные материалы, принять результат и оплатить работы.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Состав, характеристики и результат работ определяются настоящим договором, Техническим заданием (Приложение № 1), сметой и письменно согласованными изменениями.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Если иное прямо не указано в Техническом задании, домен, хостинг, платные лицензии, сервисы, тексты, фото, видео и иные материалы третьих лиц не входят в стоимость.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2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Материалы и взаимодействие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Заказчик передаёт материалы и доступы, необходимые для работы, в течение ____ рабочих дней после подписания договора и внесения аванса.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Заказчик подтверждает наличие прав на передаваемые материалы и несёт ответственность за законность их использования.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Рабочие согласования ведутся по электронной почте, в согласованном мессенджере и/или системе управления задачами. Сообщения с согласованных адресов признаются деловой перепиской Сторон.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Если Заказчик задерживает материалы, согласование или ответ более чем на ____ рабочих дней, сроки Исполнителя сдвигаются на период задержки и разумный срок возобновления работ.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3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Этапы и сроки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5556"/>
        <w:gridCol w:w="1984"/>
      </w:tblGrid>
      <w:tr>
        <w:trPr>
          <w:tblHeader w:val="true"/>
        </w:trPr>
        <w:tc>
          <w:tcPr>
            <w:tcW w:type="dxa" w:w="3251"/>
            <w:vAlign w:val="center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ЭТАП</w:t>
            </w:r>
          </w:p>
        </w:tc>
        <w:tc>
          <w:tcPr>
            <w:tcW w:type="dxa" w:w="3251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РЕЗУЛЬТАТ</w:t>
            </w:r>
          </w:p>
        </w:tc>
        <w:tc>
          <w:tcPr>
            <w:tcW w:type="dxa" w:w="3251"/>
            <w:shd w:fill="111111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Nimbus Sans" w:hAnsi="Nimbus Sans" w:eastAsia="Nimbus Sans"/>
                <w:b/>
                <w:i w:val="0"/>
                <w:color w:val="FFFFFF"/>
                <w:sz w:val="15"/>
              </w:rPr>
              <w:t>СРОК</w:t>
            </w:r>
          </w:p>
        </w:tc>
      </w:tr>
      <w:tr>
        <w:tc>
          <w:tcPr>
            <w:tcW w:type="dxa" w:w="198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1. Аналитика и структура</w:t>
            </w:r>
          </w:p>
        </w:tc>
        <w:tc>
          <w:tcPr>
            <w:tcW w:type="dxa" w:w="555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Бриф, карта страниц, функциональные требования</w:t>
            </w:r>
          </w:p>
        </w:tc>
        <w:tc>
          <w:tcPr>
            <w:tcW w:type="dxa" w:w="198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</w:tr>
      <w:tr>
        <w:tc>
          <w:tcPr>
            <w:tcW w:type="dxa" w:w="198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2. Прототип</w:t>
            </w:r>
          </w:p>
        </w:tc>
        <w:tc>
          <w:tcPr>
            <w:tcW w:type="dxa" w:w="5556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Схемы ключевых страниц / сценариев</w:t>
            </w:r>
          </w:p>
        </w:tc>
        <w:tc>
          <w:tcPr>
            <w:tcW w:type="dxa" w:w="198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</w:tr>
      <w:tr>
        <w:tc>
          <w:tcPr>
            <w:tcW w:type="dxa" w:w="198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3. Дизайн</w:t>
            </w:r>
          </w:p>
        </w:tc>
        <w:tc>
          <w:tcPr>
            <w:tcW w:type="dxa" w:w="555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Согласованные макеты</w:t>
            </w:r>
          </w:p>
        </w:tc>
        <w:tc>
          <w:tcPr>
            <w:tcW w:type="dxa" w:w="198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</w:tr>
      <w:tr>
        <w:tc>
          <w:tcPr>
            <w:tcW w:type="dxa" w:w="198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4. Разработка</w:t>
            </w:r>
          </w:p>
        </w:tc>
        <w:tc>
          <w:tcPr>
            <w:tcW w:type="dxa" w:w="5556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Адаптивная реализация и интеграции</w:t>
            </w:r>
          </w:p>
        </w:tc>
        <w:tc>
          <w:tcPr>
            <w:tcW w:type="dxa" w:w="1984"/>
            <w:shd w:fill="F2F4F7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</w:tr>
      <w:tr>
        <w:tc>
          <w:tcPr>
            <w:tcW w:type="dxa" w:w="198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5. Тестирование и запуск</w:t>
            </w:r>
          </w:p>
        </w:tc>
        <w:tc>
          <w:tcPr>
            <w:tcW w:type="dxa" w:w="5556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Проверенный сайт, доступы и инструкции</w:t>
            </w:r>
          </w:p>
        </w:tc>
        <w:tc>
          <w:tcPr>
            <w:tcW w:type="dxa" w:w="1984"/>
            <w:tcMar>
              <w:top w:w="95" w:type="dxa"/>
              <w:start w:w="100" w:type="dxa"/>
              <w:bottom w:w="95" w:type="dxa"/>
              <w:end w:w="100" w:type="dxa"/>
            </w:tcMar>
            <w:tcBorders>
              <w:bottom w:val="single" w:sz="4" w:color="D7DCE2"/>
            </w:tcBorders>
          </w:tcPr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7"/>
              </w:rPr>
              <w:t>___ раб. дней</w:t>
            </w:r>
          </w:p>
        </w:tc>
      </w:tr>
    </w:tbl>
    <w:p>
      <w:pPr>
        <w:spacing w:after="0"/>
      </w:pPr>
    </w:p>
    <w:p>
      <w:r>
        <w:rPr>
          <w:rFonts w:ascii="Nimbus Sans" w:hAnsi="Nimbus Sans" w:eastAsia="Nimbus Sans"/>
          <w:b w:val="0"/>
          <w:i w:val="0"/>
          <w:color w:val="111111"/>
          <w:sz w:val="20"/>
        </w:rPr>
        <w:t>Общий срок: ориентировочно ____ рабочих дней с даты получения аванса и полного комплекта исходных материалов. Точные даты фиксируются в Техническом задании или календарном плане.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4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Стоимость и порядок оплаты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Общая стоимость работ составляет __________ (__________________________) рублей. НДС не облагается в связи с применяемой Исполнителем системой налогообложения.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Оплата: аванс ____% — в течение ____ банковских дней после выставления счёта; промежуточный платёж ____%; окончательный платёж ____% — до передачи исходников, административных доступов и исключительных прав.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Дополнительные работы выполняются только после письменного согласования состава, цены и срока.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Комиссии платёжных систем и банков каждая Сторона оплачивает самостоятельно, если иное не согласовано письменно.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5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Согласование, правки и приёмка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В стоимость включено ____ раунда консолидированных правок на каждом согласуемом этапе, если иное не указано в Техническом задании.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Правка — изменение в рамках ранее согласованного решения. Новая структура, функции, контент или смена концепции считаются дополнительными работами.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Заказчик в течение ____ рабочих дней после передачи этапа направляет единый перечень замечаний либо подтверждает согласование.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Финальный результат передаётся по ссылке, на хостинг Заказчика и/или архивом. Стороны подписывают акт сдачи‑приёмки.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Если в течение ____ рабочих дней Заказчик не направил мотивированные замечания, результат считается принятым в части очевидных характеристик, доступных для проверки.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6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Интеллектуальные права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После полной оплаты Исполнитель передаёт Заказчику исключительные права на специально созданные для проекта оригинальные элементы в объёме, указанном в Техническом задании.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Права на библиотеки, шрифты, плагины, стоковые материалы, CMS и иные объекты третьих лиц предоставляются по лицензиям их правообладателей.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До полной оплаты Заказчик вправе использовать результаты только для проверки и согласования.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Если Заказчик письменно не запретил публикацию, Исполнитель вправе после публичного запуска указать проект в портфолио без раскрытия конфиденциальной информации.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7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Гарантия и поддержка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Гарантийный срок на исправление воспроизводимых ошибок, возникших по вине Исполнителя, составляет ____ календарных дней с даты приёмки.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Гарантия не распространяется на изменения Заказчика или третьих лиц, обновления сторонних сервисов, хостинг, вредоносное ПО и нарушение инструкций.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Поддержка, развитие и обновление контента после гарантийного срока оформляются отдельным заказом или соглашением.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8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Конфиденциальность и персональные данные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Стороны не раскрывают третьим лицам полученную в связи с проектом конфиденциальную информацию, кроме случаев, предусмотренных законом или необходимых для исполнения договора.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Если проект предполагает обработку персональных данных, Заказчик определяет цели и законные основания обработки, а Стороны при необходимости подписывают отдельное поручение на обработку данных.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Пароли и ключи доступа передаются безопасным способом и после запуска подлежат смене Заказчиком.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9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Ответственность и форс‑мажор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Стороны отвечают за нарушение обязательств в пределах документально подтверждённого реального ущерба; упущенная выгода не возмещается, если иное не установлено законом.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Совокупная ответственность Исполнителя по договору не превышает стоимости фактически оплаченных работ по спорному этапу, кроме случаев, когда такое ограничение запрещено законом.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Сторона освобождается от ответственности за обстоятельства непреодолимой силы при своевременном уведомлении другой Стороны.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10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Срок действия, расторжение и споры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Договор действует с даты подписания до полного исполнения обязательств.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Каждая Сторона вправе отказаться от договора, письменно уведомив другую Сторону не менее чем за ____ календарных дней. Заказчик оплачивает выполненные к дате прекращения работы и согласованные расходы.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Споры решаются путём переговоров и обязательной письменной претензии. Срок ответа на претензию — ____ рабочих дней. При недостижении соглашения спор передаётся в суд по правилам действующего законодательства РФ.</w:t>
      </w:r>
    </w:p>
    <w:p>
      <w:pPr>
        <w:pStyle w:val="ListNumber"/>
        <w:spacing w:after="60"/>
        <w:ind w:left="397" w:hanging="227"/>
      </w:pPr>
      <w:r>
        <w:rPr>
          <w:rFonts w:ascii="Nimbus Sans" w:hAnsi="Nimbus Sans" w:eastAsia="Nimbus Sans"/>
          <w:b w:val="0"/>
          <w:i w:val="0"/>
          <w:color w:val="111111"/>
          <w:sz w:val="19"/>
        </w:rPr>
        <w:t>Приложения, сметы, акты и письменно согласованные изменения являются неотъемлемой частью договора. Допускается подписание электронными образами документов с последующим обменом оригиналами по требованию.</w:t>
      </w:r>
    </w:p>
    <w:p>
      <w:pPr>
        <w:pStyle w:val="Heading1"/>
        <w:spacing w:before="260" w:after="100"/>
        <w:keepNext/>
      </w:pPr>
      <w:r>
        <w:rPr>
          <w:rFonts w:ascii="Nimbus Sans" w:hAnsi="Nimbus Sans" w:eastAsia="Nimbus Sans"/>
          <w:b/>
          <w:i w:val="0"/>
          <w:color w:val="60656C"/>
          <w:sz w:val="18"/>
        </w:rPr>
        <w:t xml:space="preserve">  </w:t>
      </w:r>
      <w:r>
        <w:rPr>
          <w:rFonts w:ascii="Nimbus Sans" w:hAnsi="Nimbus Sans" w:eastAsia="Nimbus Sans"/>
          <w:b/>
          <w:i w:val="0"/>
          <w:color w:val="111111"/>
          <w:sz w:val="30"/>
        </w:rPr>
        <w:t>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ЗАКАЗЧИК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Наименование / Ф. И. О.: 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/ ОГРН(ИП):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Адрес: __________________________________________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 / телефон: _________________________________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______________________________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                         Ф. И. О.</w:t>
            </w:r>
          </w:p>
        </w:tc>
        <w:tc>
          <w:tcPr>
            <w:tcW w:type="dxa" w:w="4876"/>
            <w:tcMar>
              <w:top w:w="140" w:type="dxa"/>
              <w:start w:w="140" w:type="dxa"/>
              <w:bottom w:w="140" w:type="dxa"/>
              <w:end w:w="140" w:type="dxa"/>
            </w:tcMar>
            <w:tcBorders>
              <w:top w:val="single" w:sz="8" w:color="111111"/>
            </w:tcBorders>
          </w:tcPr>
          <w:p>
            <w:r>
              <w:rPr>
                <w:rFonts w:ascii="Nimbus Sans" w:hAnsi="Nimbus Sans" w:eastAsia="Nimbus Sans"/>
                <w:b/>
                <w:i w:val="0"/>
                <w:color w:val="60656C"/>
                <w:sz w:val="16"/>
              </w:rPr>
              <w:t>ИСПОЛНИТЕЛЬ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ИП Гладышев Андрей Иванович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ИНН 860219643299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ОГРНИП 3198611700068507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Москва, Пресненская набережная, д. 12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Email: web@curvedlines.ru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Банк / р/с / к/с / БИК: ___________________________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>________________ / А. И. Гладышев</w:t>
            </w:r>
          </w:p>
          <w:p>
            <w:r>
              <w:rPr>
                <w:rFonts w:ascii="Nimbus Sans" w:hAnsi="Nimbus Sans" w:eastAsia="Nimbus Sans"/>
                <w:b w:val="0"/>
                <w:i w:val="0"/>
                <w:color w:val="111111"/>
                <w:sz w:val="16"/>
              </w:rPr>
              <w:t xml:space="preserve">       подпись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77" w:bottom="964" w:left="107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654"/>
      <w:gridCol w:w="2098"/>
    </w:tblGrid>
    <w:tr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r>
            <w:rPr>
              <w:rFonts w:ascii="Nimbus Sans" w:hAnsi="Nimbus Sans" w:eastAsia="Nimbus Sans"/>
              <w:b w:val="0"/>
              <w:i w:val="0"/>
              <w:color w:val="60656C"/>
              <w:sz w:val="16"/>
            </w:rPr>
            <w:t>Кривые Линии WEB · типовой редактируемый шаблон</w:t>
          </w:r>
        </w:p>
      </w:tc>
      <w:tc>
        <w:tcPr>
          <w:tcW w:type="dxa" w:w="4876"/>
          <w:tcMar>
            <w:top w:w="40" w:type="dxa"/>
            <w:start w:w="0" w:type="dxa"/>
            <w:bottom w:w="0" w:type="dxa"/>
            <w:end w:w="0" w:type="dxa"/>
          </w:tcMar>
          <w:tcBorders>
            <w:top w:val="single" w:sz="6" w:color="D7DCE2"/>
          </w:tcBorders>
        </w:tcPr>
        <w:p>
          <w:pPr>
            <w:jc w:val="right"/>
          </w:pPr>
          <w:r>
            <w:rPr>
              <w:rFonts w:ascii="Nimbus Sans" w:hAnsi="Nimbus Sans"/>
              <w:color w:val="60656C"/>
              <w:sz w:val="16"/>
            </w:rPr>
            <w:t xml:space="preserve">СТР.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953"/>
      <w:gridCol w:w="3798"/>
    </w:tblGrid>
    <w:tr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spacing w:after="60"/>
          </w:pPr>
          <w:r>
            <w:rPr>
              <w:rFonts w:ascii="Nimbus Sans" w:hAnsi="Nimbus Sans" w:eastAsia="Nimbus Sans"/>
              <w:b/>
              <w:i w:val="0"/>
              <w:color w:val="111111"/>
              <w:sz w:val="18"/>
            </w:rPr>
            <w:t>КРИВЫЕ ЛИНИИ</w:t>
          </w:r>
          <w:r>
            <w:rPr>
              <w:rFonts w:ascii="Nimbus Sans" w:hAnsi="Nimbus Sans" w:eastAsia="Nimbus Sans"/>
              <w:b/>
              <w:i w:val="0"/>
              <w:color w:val="F2D94E"/>
              <w:sz w:val="18"/>
            </w:rPr>
            <w:t xml:space="preserve">  /  WEB</w:t>
          </w:r>
        </w:p>
      </w:tc>
      <w:tc>
        <w:tcPr>
          <w:tcW w:type="dxa" w:w="4876"/>
          <w:tcMar>
            <w:top w:w="0" w:type="dxa"/>
            <w:start w:w="0" w:type="dxa"/>
            <w:bottom w:w="40" w:type="dxa"/>
            <w:end w:w="0" w:type="dxa"/>
          </w:tcMar>
          <w:tcBorders>
            <w:bottom w:val="single" w:sz="8" w:color="111111"/>
          </w:tcBorders>
        </w:tcPr>
        <w:p>
          <w:pPr>
            <w:jc w:val="right"/>
          </w:pPr>
          <w:r>
            <w:rPr>
              <w:rFonts w:ascii="Nimbus Sans" w:hAnsi="Nimbus Sans" w:eastAsia="Nimbus Sans"/>
              <w:b/>
              <w:i w:val="0"/>
              <w:color w:val="60656C"/>
              <w:sz w:val="15"/>
            </w:rPr>
            <w:t>01  ·  ДОГОВОР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Nimbus Sans" w:hAnsi="Nimbus Sans" w:eastAsia="Nimbus Sans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Nimbus Sans" w:hAnsi="Nimbus Sans" w:eastAsia="Nimbus Sans"/>
      <w:b/>
      <w:bCs/>
      <w:color w:val="11111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40"/>
      <w:contextualSpacing/>
    </w:pPr>
    <w:rPr>
      <w:rFonts w:asciiTheme="majorHAnsi" w:eastAsiaTheme="majorEastAsia" w:hAnsiTheme="majorHAnsi" w:cstheme="majorBidi" w:ascii="Nimbus Sans" w:hAnsi="Nimbus Sans" w:eastAsia="Nimbus Sans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